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5540FA">
      <w:pPr>
        <w:pStyle w:val="21"/>
        <w:keepNext w:val="0"/>
        <w:keepLines w:val="0"/>
        <w:pageBreakBefore w:val="0"/>
        <w:widowControl w:val="0"/>
        <w:shd w:val="clear"/>
        <w:kinsoku/>
        <w:wordWrap/>
        <w:overflowPunct/>
        <w:topLinePunct w:val="0"/>
        <w:autoSpaceDE/>
        <w:autoSpaceDN/>
        <w:bidi w:val="0"/>
        <w:adjustRightInd/>
        <w:snapToGrid/>
        <w:spacing w:after="157" w:afterLines="50" w:line="360" w:lineRule="auto"/>
        <w:ind w:right="120" w:rightChars="50" w:firstLine="482"/>
        <w:jc w:val="center"/>
        <w:textAlignment w:val="auto"/>
        <w:rPr>
          <w:rFonts w:hint="eastAsia" w:ascii="宋体" w:hAnsi="宋体" w:eastAsia="宋体" w:cs="宋体"/>
          <w:b/>
          <w:color w:val="auto"/>
          <w:sz w:val="30"/>
          <w:szCs w:val="30"/>
          <w:highlight w:val="none"/>
          <w:lang w:val="zh-TW"/>
        </w:rPr>
      </w:pPr>
      <w:r>
        <w:rPr>
          <w:rFonts w:hint="eastAsia" w:ascii="宋体" w:hAnsi="宋体" w:eastAsia="宋体" w:cs="宋体"/>
          <w:b/>
          <w:color w:val="auto"/>
          <w:sz w:val="30"/>
          <w:szCs w:val="30"/>
          <w:highlight w:val="none"/>
          <w:lang w:val="zh-TW" w:eastAsia="zh-CN"/>
        </w:rPr>
        <w:t>2026年上海轨道交通11号线昆山段声屏障更新改造项目</w:t>
      </w:r>
      <w:r>
        <w:rPr>
          <w:rFonts w:hint="eastAsia" w:ascii="宋体" w:hAnsi="宋体" w:eastAsia="宋体" w:cs="宋体"/>
          <w:b/>
          <w:color w:val="auto"/>
          <w:sz w:val="30"/>
          <w:szCs w:val="30"/>
          <w:highlight w:val="none"/>
          <w:lang w:val="zh-TW"/>
        </w:rPr>
        <w:t>设计</w:t>
      </w:r>
    </w:p>
    <w:p w14:paraId="1561EE9A">
      <w:pPr>
        <w:pStyle w:val="21"/>
        <w:keepNext w:val="0"/>
        <w:keepLines w:val="0"/>
        <w:pageBreakBefore w:val="0"/>
        <w:widowControl w:val="0"/>
        <w:shd w:val="clear"/>
        <w:kinsoku/>
        <w:wordWrap/>
        <w:overflowPunct/>
        <w:topLinePunct w:val="0"/>
        <w:autoSpaceDE/>
        <w:autoSpaceDN/>
        <w:bidi w:val="0"/>
        <w:adjustRightInd/>
        <w:snapToGrid/>
        <w:spacing w:after="157" w:afterLines="50" w:line="360" w:lineRule="auto"/>
        <w:ind w:right="120" w:rightChars="50" w:firstLine="482"/>
        <w:jc w:val="center"/>
        <w:textAlignment w:val="auto"/>
        <w:rPr>
          <w:rFonts w:ascii="宋体" w:hAnsi="宋体" w:eastAsia="宋体" w:cs="宋体"/>
          <w:b/>
          <w:color w:val="auto"/>
          <w:sz w:val="30"/>
          <w:szCs w:val="30"/>
          <w:highlight w:val="none"/>
          <w:lang w:val="zh-TW"/>
        </w:rPr>
      </w:pPr>
      <w:r>
        <w:rPr>
          <w:rFonts w:hint="eastAsia" w:ascii="宋体" w:hAnsi="宋体" w:eastAsia="宋体" w:cs="宋体"/>
          <w:b/>
          <w:color w:val="auto"/>
          <w:sz w:val="30"/>
          <w:szCs w:val="30"/>
          <w:highlight w:val="none"/>
          <w:lang w:val="zh-TW"/>
        </w:rPr>
        <w:t>招标公告</w:t>
      </w:r>
    </w:p>
    <w:p w14:paraId="14E023DF">
      <w:pPr>
        <w:pStyle w:val="2"/>
        <w:keepNext w:val="0"/>
        <w:keepLines w:val="0"/>
        <w:pageBreakBefore w:val="0"/>
        <w:widowControl/>
        <w:shd w:val="clear"/>
        <w:kinsoku/>
        <w:wordWrap/>
        <w:overflowPunct w:val="0"/>
        <w:autoSpaceDE/>
        <w:autoSpaceDN/>
        <w:bidi w:val="0"/>
        <w:spacing w:line="360" w:lineRule="auto"/>
        <w:ind w:firstLine="422"/>
        <w:textAlignment w:val="auto"/>
        <w:rPr>
          <w:rFonts w:hint="eastAsia" w:ascii="宋体" w:hAnsi="宋体" w:eastAsia="宋体" w:cs="宋体"/>
          <w:b/>
          <w:color w:val="auto"/>
          <w:sz w:val="24"/>
          <w:szCs w:val="24"/>
          <w:highlight w:val="none"/>
        </w:rPr>
      </w:pPr>
      <w:bookmarkStart w:id="0" w:name="_Toc152042288"/>
      <w:bookmarkStart w:id="1" w:name="_Toc401750197"/>
      <w:bookmarkStart w:id="2" w:name="_Toc144974480"/>
      <w:bookmarkStart w:id="3" w:name="_Toc152045512"/>
      <w:bookmarkStart w:id="4" w:name="OLE_LINK1"/>
      <w:r>
        <w:rPr>
          <w:rFonts w:hint="eastAsia" w:ascii="宋体" w:hAnsi="宋体" w:eastAsia="宋体" w:cs="宋体"/>
          <w:b/>
          <w:color w:val="auto"/>
          <w:sz w:val="24"/>
          <w:szCs w:val="24"/>
          <w:highlight w:val="none"/>
        </w:rPr>
        <w:t>一、招标条件</w:t>
      </w:r>
      <w:bookmarkEnd w:id="0"/>
      <w:bookmarkEnd w:id="1"/>
      <w:bookmarkEnd w:id="2"/>
      <w:bookmarkEnd w:id="3"/>
    </w:p>
    <w:p w14:paraId="1C36FFE8">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北京市建壮咨询有限公司受</w:t>
      </w:r>
      <w:r>
        <w:rPr>
          <w:rFonts w:hint="eastAsia" w:ascii="宋体" w:hAnsi="宋体" w:eastAsia="宋体" w:cs="宋体"/>
          <w:color w:val="auto"/>
          <w:sz w:val="24"/>
          <w:szCs w:val="24"/>
          <w:highlight w:val="none"/>
          <w:u w:val="single"/>
        </w:rPr>
        <w:t>昆山市轨道交通投资发展有限公司、上海地铁维护保障有限公司</w:t>
      </w:r>
      <w:r>
        <w:rPr>
          <w:rFonts w:hint="eastAsia" w:ascii="宋体" w:hAnsi="宋体" w:eastAsia="宋体" w:cs="宋体"/>
          <w:color w:val="auto"/>
          <w:sz w:val="24"/>
          <w:szCs w:val="24"/>
          <w:highlight w:val="none"/>
        </w:rPr>
        <w:t>的委托，对其2026年上海轨道交通11号线昆山段声屏障更新改造</w:t>
      </w:r>
      <w:r>
        <w:rPr>
          <w:rFonts w:hint="eastAsia" w:ascii="宋体" w:hAnsi="宋体" w:eastAsia="宋体" w:cs="宋体"/>
          <w:color w:val="auto"/>
          <w:sz w:val="24"/>
          <w:szCs w:val="24"/>
          <w:highlight w:val="none"/>
          <w:lang w:val="en-US" w:eastAsia="zh-CN"/>
        </w:rPr>
        <w:t>项目</w:t>
      </w:r>
      <w:r>
        <w:rPr>
          <w:rFonts w:hint="eastAsia" w:ascii="宋体" w:hAnsi="宋体" w:eastAsia="宋体" w:cs="宋体"/>
          <w:color w:val="auto"/>
          <w:sz w:val="24"/>
          <w:szCs w:val="24"/>
          <w:highlight w:val="none"/>
        </w:rPr>
        <w:t>设计实行公开招标。</w:t>
      </w:r>
      <w:bookmarkStart w:id="5" w:name="_Toc152042289"/>
      <w:bookmarkStart w:id="6" w:name="_Toc401750198"/>
      <w:bookmarkStart w:id="7" w:name="_Toc144974481"/>
      <w:bookmarkStart w:id="8" w:name="_Toc152045513"/>
    </w:p>
    <w:p w14:paraId="020279A9">
      <w:pPr>
        <w:pStyle w:val="2"/>
        <w:keepNext w:val="0"/>
        <w:keepLines w:val="0"/>
        <w:pageBreakBefore w:val="0"/>
        <w:widowControl/>
        <w:shd w:val="clear"/>
        <w:kinsoku/>
        <w:wordWrap/>
        <w:overflowPunct w:val="0"/>
        <w:autoSpaceDE/>
        <w:autoSpaceDN/>
        <w:bidi w:val="0"/>
        <w:spacing w:line="360" w:lineRule="auto"/>
        <w:ind w:firstLine="422"/>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二、项目概况与招标范围</w:t>
      </w:r>
      <w:bookmarkEnd w:id="5"/>
      <w:bookmarkEnd w:id="6"/>
      <w:bookmarkEnd w:id="7"/>
      <w:bookmarkEnd w:id="8"/>
    </w:p>
    <w:p w14:paraId="2C7F86F6">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bookmarkStart w:id="9" w:name="_Toc152045514"/>
      <w:bookmarkStart w:id="10" w:name="_Toc144974482"/>
      <w:bookmarkStart w:id="11" w:name="_Toc152042290"/>
      <w:r>
        <w:rPr>
          <w:rFonts w:hint="eastAsia" w:ascii="宋体" w:hAnsi="宋体" w:eastAsia="宋体" w:cs="宋体"/>
          <w:color w:val="auto"/>
          <w:sz w:val="24"/>
          <w:szCs w:val="24"/>
          <w:highlight w:val="none"/>
        </w:rPr>
        <w:t>2.1项目概况</w:t>
      </w:r>
    </w:p>
    <w:p w14:paraId="0A06E307">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上海轨道交通11号线</w:t>
      </w:r>
      <w:r>
        <w:rPr>
          <w:rFonts w:hint="eastAsia" w:ascii="宋体" w:hAnsi="宋体" w:eastAsia="宋体" w:cs="宋体"/>
          <w:color w:val="auto"/>
          <w:sz w:val="24"/>
          <w:szCs w:val="24"/>
          <w:highlight w:val="none"/>
          <w:lang w:eastAsia="zh-CN"/>
        </w:rPr>
        <w:t>昆山段</w:t>
      </w:r>
      <w:r>
        <w:rPr>
          <w:rFonts w:hint="eastAsia" w:ascii="宋体" w:hAnsi="宋体" w:eastAsia="宋体" w:cs="宋体"/>
          <w:color w:val="auto"/>
          <w:sz w:val="24"/>
          <w:szCs w:val="24"/>
          <w:highlight w:val="none"/>
        </w:rPr>
        <w:t>全长约6km，共设3座车站。上海地铁11号线</w:t>
      </w:r>
      <w:r>
        <w:rPr>
          <w:rFonts w:hint="eastAsia" w:ascii="宋体" w:hAnsi="宋体" w:eastAsia="宋体" w:cs="宋体"/>
          <w:color w:val="auto"/>
          <w:sz w:val="24"/>
          <w:szCs w:val="24"/>
          <w:highlight w:val="none"/>
          <w:lang w:eastAsia="zh-CN"/>
        </w:rPr>
        <w:t>昆山段</w:t>
      </w:r>
      <w:r>
        <w:rPr>
          <w:rFonts w:hint="eastAsia" w:ascii="宋体" w:hAnsi="宋体" w:eastAsia="宋体" w:cs="宋体"/>
          <w:color w:val="auto"/>
          <w:sz w:val="24"/>
          <w:szCs w:val="24"/>
          <w:highlight w:val="none"/>
        </w:rPr>
        <w:t>（兆丰路站至花桥站）于2013年开通运营。</w:t>
      </w:r>
      <w:r>
        <w:rPr>
          <w:rFonts w:hint="eastAsia" w:ascii="宋体" w:hAnsi="宋体" w:eastAsia="宋体" w:cs="宋体"/>
          <w:color w:val="auto"/>
          <w:sz w:val="24"/>
          <w:szCs w:val="24"/>
          <w:highlight w:val="none"/>
          <w:lang w:eastAsia="zh-CN"/>
        </w:rPr>
        <w:t>根据上海市地方标准《城市轨道交通设施设备日常维护与大修更新改造技术要求》（DB31/T 1553-2025）</w:t>
      </w:r>
      <w:r>
        <w:rPr>
          <w:rFonts w:hint="eastAsia" w:ascii="宋体" w:hAnsi="宋体" w:eastAsia="宋体" w:cs="宋体"/>
          <w:color w:val="auto"/>
          <w:sz w:val="24"/>
          <w:szCs w:val="24"/>
          <w:highlight w:val="none"/>
        </w:rPr>
        <w:t>相关规定，对上述线路声屏障进行</w:t>
      </w:r>
      <w:r>
        <w:rPr>
          <w:rFonts w:hint="eastAsia" w:ascii="宋体" w:hAnsi="宋体" w:eastAsia="宋体" w:cs="宋体"/>
          <w:color w:val="auto"/>
          <w:sz w:val="24"/>
          <w:szCs w:val="24"/>
          <w:highlight w:val="none"/>
          <w:lang w:val="en-US" w:eastAsia="zh-CN"/>
        </w:rPr>
        <w:t>更新</w:t>
      </w:r>
      <w:r>
        <w:rPr>
          <w:rFonts w:hint="eastAsia" w:ascii="宋体" w:hAnsi="宋体" w:eastAsia="宋体" w:cs="宋体"/>
          <w:color w:val="auto"/>
          <w:sz w:val="24"/>
          <w:szCs w:val="24"/>
          <w:highlight w:val="none"/>
        </w:rPr>
        <w:t>改造。</w:t>
      </w:r>
    </w:p>
    <w:p w14:paraId="70F13A79">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2.2招标范围：</w:t>
      </w:r>
    </w:p>
    <w:p w14:paraId="66E7E22A">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上海轨道交通11号线</w:t>
      </w:r>
      <w:r>
        <w:rPr>
          <w:rFonts w:hint="eastAsia" w:ascii="宋体" w:hAnsi="宋体" w:eastAsia="宋体" w:cs="宋体"/>
          <w:color w:val="auto"/>
          <w:sz w:val="24"/>
          <w:szCs w:val="24"/>
          <w:highlight w:val="none"/>
          <w:lang w:val="en-US" w:eastAsia="zh-CN"/>
        </w:rPr>
        <w:t>昆山段</w:t>
      </w:r>
      <w:r>
        <w:rPr>
          <w:rFonts w:hint="eastAsia" w:ascii="宋体" w:hAnsi="宋体" w:eastAsia="宋体" w:cs="宋体"/>
          <w:color w:val="auto"/>
          <w:sz w:val="24"/>
          <w:szCs w:val="24"/>
          <w:highlight w:val="none"/>
        </w:rPr>
        <w:t>声屏障</w:t>
      </w:r>
      <w:r>
        <w:rPr>
          <w:rFonts w:hint="eastAsia" w:ascii="宋体" w:hAnsi="宋体" w:eastAsia="宋体" w:cs="宋体"/>
          <w:color w:val="auto"/>
          <w:sz w:val="24"/>
          <w:szCs w:val="24"/>
          <w:highlight w:val="none"/>
          <w:lang w:val="en-US" w:eastAsia="zh-CN"/>
        </w:rPr>
        <w:t>更新改造</w:t>
      </w:r>
      <w:r>
        <w:rPr>
          <w:rFonts w:hint="eastAsia" w:ascii="宋体" w:hAnsi="宋体" w:eastAsia="宋体" w:cs="宋体"/>
          <w:color w:val="auto"/>
          <w:sz w:val="24"/>
          <w:szCs w:val="24"/>
          <w:highlight w:val="none"/>
        </w:rPr>
        <w:t>涉及上海轨道交通11号线</w:t>
      </w:r>
      <w:r>
        <w:rPr>
          <w:rFonts w:hint="eastAsia" w:ascii="宋体" w:hAnsi="宋体" w:eastAsia="宋体" w:cs="宋体"/>
          <w:color w:val="auto"/>
          <w:sz w:val="24"/>
          <w:szCs w:val="24"/>
          <w:highlight w:val="none"/>
          <w:lang w:val="en-US" w:eastAsia="zh-CN"/>
        </w:rPr>
        <w:t>昆山段</w:t>
      </w:r>
      <w:r>
        <w:rPr>
          <w:rFonts w:hint="eastAsia" w:ascii="宋体" w:hAnsi="宋体" w:eastAsia="宋体" w:cs="宋体"/>
          <w:color w:val="auto"/>
          <w:sz w:val="24"/>
          <w:szCs w:val="24"/>
          <w:highlight w:val="none"/>
        </w:rPr>
        <w:t>安亭站~兆丰</w:t>
      </w:r>
      <w:r>
        <w:rPr>
          <w:rFonts w:hint="eastAsia" w:ascii="宋体" w:hAnsi="宋体" w:eastAsia="宋体" w:cs="宋体"/>
          <w:color w:val="auto"/>
          <w:sz w:val="24"/>
          <w:szCs w:val="24"/>
          <w:highlight w:val="none"/>
          <w:lang w:val="en-US" w:eastAsia="zh-CN"/>
        </w:rPr>
        <w:t>路</w:t>
      </w:r>
      <w:r>
        <w:rPr>
          <w:rFonts w:hint="eastAsia" w:ascii="宋体" w:hAnsi="宋体" w:eastAsia="宋体" w:cs="宋体"/>
          <w:color w:val="auto"/>
          <w:sz w:val="24"/>
          <w:szCs w:val="24"/>
          <w:highlight w:val="none"/>
        </w:rPr>
        <w:t>站~光明路站~花桥站</w:t>
      </w:r>
      <w:r>
        <w:rPr>
          <w:rFonts w:hint="eastAsia" w:ascii="宋体" w:hAnsi="宋体" w:eastAsia="宋体" w:cs="宋体"/>
          <w:color w:val="auto"/>
          <w:sz w:val="24"/>
          <w:szCs w:val="24"/>
          <w:highlight w:val="none"/>
          <w:lang w:val="en-US" w:eastAsia="zh-CN"/>
        </w:rPr>
        <w:t>的正线区间</w:t>
      </w:r>
      <w:r>
        <w:rPr>
          <w:rFonts w:hint="eastAsia" w:ascii="宋体" w:hAnsi="宋体" w:eastAsia="宋体" w:cs="宋体"/>
          <w:color w:val="auto"/>
          <w:sz w:val="24"/>
          <w:szCs w:val="24"/>
          <w:highlight w:val="none"/>
        </w:rPr>
        <w:t>。主要工程内容为</w:t>
      </w:r>
    </w:p>
    <w:p w14:paraId="4033725D">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（1）11号线（安亭站~兆丰</w:t>
      </w:r>
      <w:r>
        <w:rPr>
          <w:rFonts w:hint="eastAsia" w:ascii="宋体" w:hAnsi="宋体" w:eastAsia="宋体" w:cs="宋体"/>
          <w:color w:val="auto"/>
          <w:sz w:val="24"/>
          <w:szCs w:val="24"/>
          <w:highlight w:val="none"/>
          <w:lang w:val="en-US" w:eastAsia="zh-CN"/>
        </w:rPr>
        <w:t>路</w:t>
      </w:r>
      <w:r>
        <w:rPr>
          <w:rFonts w:hint="eastAsia" w:ascii="宋体" w:hAnsi="宋体" w:eastAsia="宋体" w:cs="宋体"/>
          <w:color w:val="auto"/>
          <w:sz w:val="24"/>
          <w:szCs w:val="24"/>
          <w:highlight w:val="none"/>
          <w:lang w:eastAsia="zh-CN"/>
        </w:rPr>
        <w:t>站~光明路站~花桥站）区间直立式声屏障进行拆除</w:t>
      </w:r>
    </w:p>
    <w:p w14:paraId="177B3FD8">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）11号线（安亭站~兆丰</w:t>
      </w:r>
      <w:r>
        <w:rPr>
          <w:rFonts w:hint="eastAsia" w:ascii="宋体" w:hAnsi="宋体" w:eastAsia="宋体" w:cs="宋体"/>
          <w:color w:val="auto"/>
          <w:sz w:val="24"/>
          <w:szCs w:val="24"/>
          <w:highlight w:val="none"/>
          <w:lang w:val="en-US" w:eastAsia="zh-CN"/>
        </w:rPr>
        <w:t>路</w:t>
      </w:r>
      <w:r>
        <w:rPr>
          <w:rFonts w:hint="eastAsia" w:ascii="宋体" w:hAnsi="宋体" w:eastAsia="宋体" w:cs="宋体"/>
          <w:color w:val="auto"/>
          <w:sz w:val="24"/>
          <w:szCs w:val="24"/>
          <w:highlight w:val="none"/>
          <w:lang w:eastAsia="zh-CN"/>
        </w:rPr>
        <w:t>站~光明路站~花桥站）区间直立式声屏障</w:t>
      </w:r>
      <w:r>
        <w:rPr>
          <w:rFonts w:hint="eastAsia" w:ascii="宋体" w:hAnsi="宋体" w:eastAsia="宋体" w:cs="宋体"/>
          <w:color w:val="auto"/>
          <w:sz w:val="24"/>
          <w:szCs w:val="24"/>
          <w:highlight w:val="none"/>
          <w:lang w:val="en-US" w:eastAsia="zh-CN"/>
        </w:rPr>
        <w:t>制作及安装。</w:t>
      </w:r>
    </w:p>
    <w:p w14:paraId="1A57D84D">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）11号线（安亭站~兆丰</w:t>
      </w:r>
      <w:r>
        <w:rPr>
          <w:rFonts w:hint="eastAsia" w:ascii="宋体" w:hAnsi="宋体" w:eastAsia="宋体" w:cs="宋体"/>
          <w:color w:val="auto"/>
          <w:sz w:val="24"/>
          <w:szCs w:val="24"/>
          <w:highlight w:val="none"/>
          <w:lang w:val="en-US" w:eastAsia="zh-CN"/>
        </w:rPr>
        <w:t>路</w:t>
      </w:r>
      <w:r>
        <w:rPr>
          <w:rFonts w:hint="eastAsia" w:ascii="宋体" w:hAnsi="宋体" w:eastAsia="宋体" w:cs="宋体"/>
          <w:color w:val="auto"/>
          <w:sz w:val="24"/>
          <w:szCs w:val="24"/>
          <w:highlight w:val="none"/>
          <w:lang w:eastAsia="zh-CN"/>
        </w:rPr>
        <w:t>站~光明路站~花桥站）区间</w:t>
      </w:r>
      <w:r>
        <w:rPr>
          <w:rFonts w:hint="eastAsia" w:ascii="宋体" w:hAnsi="宋体" w:eastAsia="宋体" w:cs="宋体"/>
          <w:color w:val="auto"/>
          <w:sz w:val="24"/>
          <w:szCs w:val="24"/>
          <w:highlight w:val="none"/>
          <w:lang w:val="en-US" w:eastAsia="zh-CN"/>
        </w:rPr>
        <w:t>改造范围内的</w:t>
      </w:r>
      <w:r>
        <w:rPr>
          <w:rFonts w:hint="eastAsia" w:ascii="宋体" w:hAnsi="宋体" w:eastAsia="宋体" w:cs="宋体"/>
          <w:color w:val="auto"/>
          <w:sz w:val="24"/>
          <w:szCs w:val="24"/>
          <w:highlight w:val="none"/>
          <w:lang w:eastAsia="zh-CN"/>
        </w:rPr>
        <w:t>声屏障立柱更换。</w:t>
      </w:r>
    </w:p>
    <w:p w14:paraId="37FB92D3">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工作内容：上海轨道交通11号线</w:t>
      </w:r>
      <w:r>
        <w:rPr>
          <w:rFonts w:hint="eastAsia" w:ascii="宋体" w:hAnsi="宋体" w:eastAsia="宋体" w:cs="宋体"/>
          <w:color w:val="auto"/>
          <w:sz w:val="24"/>
          <w:szCs w:val="24"/>
          <w:highlight w:val="none"/>
          <w:lang w:val="en-US" w:eastAsia="zh-CN"/>
        </w:rPr>
        <w:t>昆山段</w:t>
      </w:r>
      <w:r>
        <w:rPr>
          <w:rFonts w:hint="eastAsia" w:ascii="宋体" w:hAnsi="宋体" w:eastAsia="宋体" w:cs="宋体"/>
          <w:color w:val="auto"/>
          <w:sz w:val="24"/>
          <w:szCs w:val="24"/>
          <w:highlight w:val="none"/>
        </w:rPr>
        <w:t>声屏障</w:t>
      </w:r>
      <w:r>
        <w:rPr>
          <w:rFonts w:hint="eastAsia" w:ascii="宋体" w:hAnsi="宋体" w:eastAsia="宋体" w:cs="宋体"/>
          <w:color w:val="auto"/>
          <w:sz w:val="24"/>
          <w:szCs w:val="24"/>
          <w:highlight w:val="none"/>
          <w:lang w:val="en-US" w:eastAsia="zh-CN"/>
        </w:rPr>
        <w:t>更新改造</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rPr>
        <w:t>初步设计深化设计</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施工图设计，并承担全部与设计内容相关的协调管理工作，配合各阶段的报批、评审、招标工作以及施工阶段的现场配合和服务工作。具体详见技术要求。</w:t>
      </w:r>
      <w:bookmarkStart w:id="12" w:name="_Toc401750203"/>
      <w:r>
        <w:rPr>
          <w:rFonts w:hint="eastAsia" w:ascii="宋体" w:hAnsi="宋体" w:eastAsia="宋体" w:cs="宋体"/>
          <w:color w:val="auto"/>
          <w:sz w:val="24"/>
          <w:szCs w:val="24"/>
          <w:highlight w:val="none"/>
        </w:rPr>
        <w:t xml:space="preserve"> </w:t>
      </w:r>
    </w:p>
    <w:p w14:paraId="62150125">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bCs/>
          <w:color w:val="auto"/>
          <w:kern w:val="0"/>
          <w:sz w:val="24"/>
          <w:szCs w:val="24"/>
          <w:highlight w:val="none"/>
        </w:rPr>
        <w:t>2.3服务周期：</w:t>
      </w:r>
      <w:r>
        <w:rPr>
          <w:rFonts w:hint="eastAsia" w:ascii="宋体" w:hAnsi="宋体" w:eastAsia="宋体" w:cs="宋体"/>
          <w:color w:val="auto"/>
          <w:sz w:val="24"/>
          <w:szCs w:val="24"/>
          <w:highlight w:val="none"/>
        </w:rPr>
        <w:t>合同签订之日起30天内提交符合审图及各参审部门要求的</w:t>
      </w:r>
      <w:r>
        <w:rPr>
          <w:rFonts w:hint="eastAsia" w:ascii="宋体" w:hAnsi="宋体" w:eastAsia="宋体" w:cs="宋体"/>
          <w:color w:val="auto"/>
          <w:sz w:val="24"/>
          <w:szCs w:val="24"/>
          <w:highlight w:val="none"/>
          <w:lang w:val="en-US" w:eastAsia="zh-CN"/>
        </w:rPr>
        <w:t>施工图</w:t>
      </w:r>
      <w:r>
        <w:rPr>
          <w:rFonts w:hint="eastAsia" w:ascii="宋体" w:hAnsi="宋体" w:eastAsia="宋体" w:cs="宋体"/>
          <w:color w:val="auto"/>
          <w:sz w:val="24"/>
          <w:szCs w:val="24"/>
          <w:highlight w:val="none"/>
        </w:rPr>
        <w:t>。</w:t>
      </w:r>
    </w:p>
    <w:p w14:paraId="0DD9694C">
      <w:pPr>
        <w:pStyle w:val="2"/>
        <w:keepNext w:val="0"/>
        <w:keepLines w:val="0"/>
        <w:pageBreakBefore w:val="0"/>
        <w:widowControl/>
        <w:shd w:val="clear"/>
        <w:kinsoku/>
        <w:wordWrap/>
        <w:overflowPunct w:val="0"/>
        <w:autoSpaceDE/>
        <w:autoSpaceDN/>
        <w:bidi w:val="0"/>
        <w:spacing w:line="360" w:lineRule="auto"/>
        <w:ind w:firstLine="422"/>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三、投标人资格要求</w:t>
      </w:r>
      <w:bookmarkEnd w:id="9"/>
      <w:bookmarkEnd w:id="10"/>
      <w:bookmarkEnd w:id="11"/>
      <w:bookmarkEnd w:id="12"/>
    </w:p>
    <w:p w14:paraId="23D038A1">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bookmarkStart w:id="13" w:name="_Toc144974483"/>
      <w:bookmarkStart w:id="14" w:name="_Toc152045515"/>
      <w:bookmarkStart w:id="15" w:name="_Toc401750204"/>
      <w:bookmarkStart w:id="16" w:name="_Toc152042291"/>
      <w:r>
        <w:rPr>
          <w:rFonts w:hint="eastAsia" w:ascii="宋体" w:hAnsi="宋体" w:eastAsia="宋体" w:cs="宋体"/>
          <w:color w:val="auto"/>
          <w:sz w:val="24"/>
          <w:szCs w:val="24"/>
          <w:highlight w:val="none"/>
        </w:rPr>
        <w:t>3.1本次招标项目对投标人资格条件要求如下：</w:t>
      </w:r>
    </w:p>
    <w:p w14:paraId="5B537C07">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（1）资质要求：投标人必须具有独立法人资格，持有有效的营业执照，具备有效的基本账户开户许可证或基本存款账户信息；</w:t>
      </w:r>
      <w:r>
        <w:rPr>
          <w:rFonts w:hint="eastAsia" w:ascii="宋体" w:hAnsi="宋体" w:eastAsia="宋体" w:cs="宋体"/>
          <w:color w:val="auto"/>
          <w:sz w:val="24"/>
          <w:szCs w:val="24"/>
          <w:highlight w:val="none"/>
        </w:rPr>
        <w:t>具备市政行业轨道交通工程专业设计资质甲级；</w:t>
      </w:r>
    </w:p>
    <w:p w14:paraId="6243A84F">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（2）业绩要求：投标人具备轨道交通同类或类似工程设计业绩（以合同或中标通知书为准）；</w:t>
      </w:r>
    </w:p>
    <w:p w14:paraId="36A21DB6">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（3）信誉要求：</w:t>
      </w:r>
    </w:p>
    <w:p w14:paraId="2F23B220">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①投标文件递交截止日当天，投标人在“信用中国”网站（</w:t>
      </w:r>
      <w:r>
        <w:rPr>
          <w:rFonts w:hint="eastAsia" w:ascii="宋体" w:hAnsi="宋体" w:eastAsia="宋体" w:cs="宋体"/>
          <w:color w:val="auto"/>
          <w:sz w:val="24"/>
          <w:szCs w:val="24"/>
          <w:highlight w:val="none"/>
          <w:lang w:eastAsia="zh-CN"/>
        </w:rPr>
        <w:t>http：</w:t>
      </w:r>
      <w:r>
        <w:rPr>
          <w:rFonts w:hint="eastAsia" w:ascii="宋体" w:hAnsi="宋体" w:eastAsia="宋体" w:cs="宋体"/>
          <w:color w:val="auto"/>
          <w:sz w:val="24"/>
          <w:szCs w:val="24"/>
          <w:highlight w:val="none"/>
        </w:rPr>
        <w:t>//www.creditchina.gov.cn/）中被列入失信被执行人名单的，不得参与本项目投标；</w:t>
      </w:r>
    </w:p>
    <w:p w14:paraId="72B4D790">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②投标文件递交截止日当天，投标人在国家企业信用信息公示系统（</w:t>
      </w:r>
      <w:r>
        <w:rPr>
          <w:rFonts w:hint="eastAsia" w:ascii="宋体" w:hAnsi="宋体" w:eastAsia="宋体" w:cs="宋体"/>
          <w:color w:val="auto"/>
          <w:sz w:val="24"/>
          <w:szCs w:val="24"/>
          <w:highlight w:val="none"/>
          <w:lang w:eastAsia="zh-CN"/>
        </w:rPr>
        <w:t>http：</w:t>
      </w:r>
      <w:r>
        <w:rPr>
          <w:rFonts w:hint="eastAsia" w:ascii="宋体" w:hAnsi="宋体" w:eastAsia="宋体" w:cs="宋体"/>
          <w:color w:val="auto"/>
          <w:sz w:val="24"/>
          <w:szCs w:val="24"/>
          <w:highlight w:val="none"/>
        </w:rPr>
        <w:t>//www.gsxt.gov.cn/）中被列入严重违法失信企业名单，不得参与本项目投标。</w:t>
      </w:r>
    </w:p>
    <w:p w14:paraId="61F74FDC">
      <w:pPr>
        <w:keepNext w:val="0"/>
        <w:keepLines w:val="0"/>
        <w:pageBreakBefore w:val="0"/>
        <w:widowControl/>
        <w:shd w:val="clear"/>
        <w:kinsoku/>
        <w:wordWrap/>
        <w:autoSpaceDE/>
        <w:autoSpaceDN/>
        <w:bidi w:val="0"/>
        <w:adjustRightInd w:val="0"/>
        <w:snapToGrid w:val="0"/>
        <w:spacing w:line="360" w:lineRule="auto"/>
        <w:ind w:firstLine="480" w:firstLineChars="200"/>
        <w:textAlignment w:val="auto"/>
        <w:rPr>
          <w:rFonts w:hint="eastAsia" w:ascii="宋体" w:hAnsi="宋体" w:eastAsia="宋体" w:cs="宋体"/>
          <w:b/>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3.2</w:t>
      </w:r>
      <w:r>
        <w:rPr>
          <w:rFonts w:hint="eastAsia" w:ascii="宋体" w:hAnsi="宋体" w:eastAsia="宋体" w:cs="宋体"/>
          <w:b/>
          <w:snapToGrid w:val="0"/>
          <w:color w:val="auto"/>
          <w:kern w:val="0"/>
          <w:sz w:val="24"/>
          <w:szCs w:val="24"/>
          <w:highlight w:val="none"/>
        </w:rPr>
        <w:t>本次招标不接受联合体投标。</w:t>
      </w:r>
    </w:p>
    <w:p w14:paraId="6A2EEB5E">
      <w:pPr>
        <w:keepNext w:val="0"/>
        <w:keepLines w:val="0"/>
        <w:pageBreakBefore w:val="0"/>
        <w:widowControl/>
        <w:shd w:val="clear"/>
        <w:tabs>
          <w:tab w:val="left" w:pos="360"/>
        </w:tabs>
        <w:kinsoku/>
        <w:wordWrap/>
        <w:autoSpaceDE/>
        <w:autoSpaceDN/>
        <w:bidi w:val="0"/>
        <w:spacing w:line="360" w:lineRule="auto"/>
        <w:ind w:firstLine="482" w:firstLineChars="200"/>
        <w:textAlignment w:val="auto"/>
        <w:rPr>
          <w:rFonts w:hint="eastAsia" w:ascii="宋体" w:hAnsi="宋体" w:eastAsia="宋体" w:cs="宋体"/>
          <w:b/>
          <w:snapToGrid w:val="0"/>
          <w:color w:val="auto"/>
          <w:kern w:val="0"/>
          <w:sz w:val="24"/>
          <w:szCs w:val="24"/>
          <w:highlight w:val="none"/>
          <w:u w:val="single"/>
        </w:rPr>
      </w:pPr>
      <w:r>
        <w:rPr>
          <w:rFonts w:hint="eastAsia" w:ascii="宋体" w:hAnsi="宋体" w:eastAsia="宋体" w:cs="宋体"/>
          <w:b/>
          <w:snapToGrid w:val="0"/>
          <w:color w:val="auto"/>
          <w:kern w:val="0"/>
          <w:sz w:val="24"/>
          <w:szCs w:val="24"/>
          <w:highlight w:val="none"/>
          <w:u w:val="single"/>
        </w:rPr>
        <w:t>3.3 本项目不接受处于申通集团黑、灰名单公示期的供应商投标。</w:t>
      </w:r>
    </w:p>
    <w:p w14:paraId="481983A7">
      <w:pPr>
        <w:keepNext w:val="0"/>
        <w:keepLines w:val="0"/>
        <w:pageBreakBefore w:val="0"/>
        <w:widowControl/>
        <w:shd w:val="clear"/>
        <w:tabs>
          <w:tab w:val="left" w:pos="360"/>
        </w:tabs>
        <w:kinsoku/>
        <w:wordWrap/>
        <w:autoSpaceDE/>
        <w:autoSpaceDN/>
        <w:bidi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snapToGrid w:val="0"/>
          <w:color w:val="auto"/>
          <w:kern w:val="0"/>
          <w:sz w:val="24"/>
          <w:szCs w:val="24"/>
          <w:highlight w:val="none"/>
          <w:u w:val="single"/>
        </w:rPr>
        <w:t>3.4与招标人存在利害关系可能影响招标公正性的单位，不得参加投标。单位负责人为同一人或存在控股、管理关系的不同单位，不得参加同一标段投标，否则，相关投标均无效。</w:t>
      </w:r>
    </w:p>
    <w:p w14:paraId="1AC9AB63">
      <w:pPr>
        <w:pStyle w:val="2"/>
        <w:keepNext w:val="0"/>
        <w:keepLines w:val="0"/>
        <w:pageBreakBefore w:val="0"/>
        <w:widowControl/>
        <w:shd w:val="clear"/>
        <w:kinsoku/>
        <w:wordWrap/>
        <w:overflowPunct w:val="0"/>
        <w:autoSpaceDE/>
        <w:autoSpaceDN/>
        <w:bidi w:val="0"/>
        <w:spacing w:line="360" w:lineRule="auto"/>
        <w:ind w:firstLine="422"/>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四、招标文件的获取</w:t>
      </w:r>
    </w:p>
    <w:p w14:paraId="547932D8">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1.获取时间：从</w:t>
      </w:r>
      <w:r>
        <w:rPr>
          <w:rFonts w:hint="eastAsia" w:ascii="宋体" w:hAnsi="宋体" w:eastAsia="宋体" w:cs="宋体"/>
          <w:color w:val="auto"/>
          <w:sz w:val="24"/>
          <w:szCs w:val="24"/>
          <w:highlight w:val="none"/>
          <w:u w:val="single"/>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9</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23</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u w:val="single"/>
          <w:lang w:val="en-US" w:eastAsia="zh-CN"/>
        </w:rPr>
        <w:t>16</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rPr>
        <w:t>0</w:t>
      </w:r>
      <w:r>
        <w:rPr>
          <w:rFonts w:hint="eastAsia" w:ascii="宋体" w:hAnsi="宋体" w:eastAsia="宋体" w:cs="宋体"/>
          <w:color w:val="auto"/>
          <w:sz w:val="24"/>
          <w:szCs w:val="24"/>
          <w:highlight w:val="none"/>
        </w:rPr>
        <w:t>分到</w:t>
      </w:r>
      <w:r>
        <w:rPr>
          <w:rFonts w:hint="eastAsia" w:ascii="宋体" w:hAnsi="宋体" w:eastAsia="宋体" w:cs="宋体"/>
          <w:color w:val="auto"/>
          <w:sz w:val="24"/>
          <w:szCs w:val="24"/>
          <w:highlight w:val="none"/>
          <w:u w:val="single"/>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9</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30</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u w:val="single"/>
          <w:lang w:val="en-US" w:eastAsia="zh-CN"/>
        </w:rPr>
        <w:t>16</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u w:val="single"/>
          <w:lang w:val="en-US" w:eastAsia="zh-CN"/>
        </w:rPr>
        <w:t>30</w:t>
      </w:r>
      <w:r>
        <w:rPr>
          <w:rFonts w:hint="eastAsia" w:ascii="宋体" w:hAnsi="宋体" w:eastAsia="宋体" w:cs="宋体"/>
          <w:color w:val="auto"/>
          <w:sz w:val="24"/>
          <w:szCs w:val="24"/>
          <w:highlight w:val="none"/>
        </w:rPr>
        <w:t>分。</w:t>
      </w:r>
    </w:p>
    <w:p w14:paraId="18AE8EA5">
      <w:pPr>
        <w:pStyle w:val="2"/>
        <w:keepNext w:val="0"/>
        <w:keepLines w:val="0"/>
        <w:pageBreakBefore w:val="0"/>
        <w:widowControl/>
        <w:shd w:val="clear"/>
        <w:kinsoku/>
        <w:wordWrap/>
        <w:overflowPunct w:val="0"/>
        <w:autoSpaceDE/>
        <w:autoSpaceDN/>
        <w:bidi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2.获取方式：电话联系招标代理获取招标文件。</w:t>
      </w:r>
    </w:p>
    <w:p w14:paraId="271076F5">
      <w:pPr>
        <w:keepNext w:val="0"/>
        <w:keepLines w:val="0"/>
        <w:pageBreakBefore w:val="0"/>
        <w:widowControl/>
        <w:shd w:val="clear"/>
        <w:kinsoku/>
        <w:wordWrap/>
        <w:autoSpaceDE/>
        <w:autoSpaceDN/>
        <w:bidi w:val="0"/>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五、投标文件的递交</w:t>
      </w:r>
    </w:p>
    <w:p w14:paraId="759EEDDE">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递交截止时间：</w:t>
      </w:r>
      <w:r>
        <w:rPr>
          <w:rFonts w:hint="eastAsia" w:ascii="宋体" w:hAnsi="宋体" w:eastAsia="宋体" w:cs="宋体"/>
          <w:color w:val="auto"/>
          <w:sz w:val="24"/>
          <w:szCs w:val="24"/>
          <w:highlight w:val="none"/>
          <w:u w:val="single"/>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19</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u w:val="single"/>
        </w:rPr>
        <w:t>1</w:t>
      </w:r>
      <w:r>
        <w:rPr>
          <w:rFonts w:hint="eastAsia" w:ascii="宋体" w:hAnsi="宋体" w:eastAsia="宋体" w:cs="宋体"/>
          <w:color w:val="auto"/>
          <w:sz w:val="24"/>
          <w:szCs w:val="24"/>
          <w:highlight w:val="none"/>
          <w:u w:val="single"/>
          <w:lang w:val="en-US" w:eastAsia="zh-CN"/>
        </w:rPr>
        <w:t>3</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rPr>
        <w:t>0</w:t>
      </w:r>
      <w:r>
        <w:rPr>
          <w:rFonts w:hint="eastAsia" w:ascii="宋体" w:hAnsi="宋体" w:eastAsia="宋体" w:cs="宋体"/>
          <w:color w:val="auto"/>
          <w:sz w:val="24"/>
          <w:szCs w:val="24"/>
          <w:highlight w:val="none"/>
        </w:rPr>
        <w:t>分。</w:t>
      </w:r>
    </w:p>
    <w:p w14:paraId="54BADE4F">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递交方式：</w:t>
      </w:r>
      <w:r>
        <w:rPr>
          <w:rFonts w:hint="eastAsia" w:ascii="宋体" w:hAnsi="宋体" w:eastAsia="宋体" w:cs="宋体"/>
          <w:color w:val="auto"/>
          <w:sz w:val="24"/>
          <w:szCs w:val="24"/>
          <w:highlight w:val="none"/>
          <w:u w:val="single"/>
        </w:rPr>
        <w:t>苏州市相城区元和街道嘉元路1060号中翔金融大厦9005室</w:t>
      </w:r>
      <w:r>
        <w:rPr>
          <w:rFonts w:hint="eastAsia" w:ascii="宋体" w:hAnsi="宋体" w:eastAsia="宋体" w:cs="宋体"/>
          <w:color w:val="auto"/>
          <w:sz w:val="24"/>
          <w:szCs w:val="24"/>
          <w:highlight w:val="none"/>
        </w:rPr>
        <w:t>。纸质文件递交。</w:t>
      </w:r>
    </w:p>
    <w:p w14:paraId="64008711">
      <w:pPr>
        <w:keepNext w:val="0"/>
        <w:keepLines w:val="0"/>
        <w:pageBreakBefore w:val="0"/>
        <w:widowControl/>
        <w:shd w:val="clear"/>
        <w:kinsoku/>
        <w:wordWrap/>
        <w:autoSpaceDE/>
        <w:autoSpaceDN/>
        <w:bidi w:val="0"/>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六、开标时间及地点</w:t>
      </w:r>
    </w:p>
    <w:p w14:paraId="764B5EED">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开标时间：</w:t>
      </w:r>
      <w:r>
        <w:rPr>
          <w:rFonts w:hint="eastAsia" w:ascii="宋体" w:hAnsi="宋体" w:eastAsia="宋体" w:cs="宋体"/>
          <w:color w:val="auto"/>
          <w:sz w:val="24"/>
          <w:szCs w:val="24"/>
          <w:highlight w:val="none"/>
          <w:u w:val="single"/>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19</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u w:val="single"/>
        </w:rPr>
        <w:t>1</w:t>
      </w:r>
      <w:r>
        <w:rPr>
          <w:rFonts w:hint="eastAsia" w:ascii="宋体" w:hAnsi="宋体" w:eastAsia="宋体" w:cs="宋体"/>
          <w:color w:val="auto"/>
          <w:sz w:val="24"/>
          <w:szCs w:val="24"/>
          <w:highlight w:val="none"/>
          <w:u w:val="single"/>
          <w:lang w:val="en-US" w:eastAsia="zh-CN"/>
        </w:rPr>
        <w:t>3</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rPr>
        <w:t>0</w:t>
      </w:r>
      <w:r>
        <w:rPr>
          <w:rFonts w:hint="eastAsia" w:ascii="宋体" w:hAnsi="宋体" w:eastAsia="宋体" w:cs="宋体"/>
          <w:color w:val="auto"/>
          <w:sz w:val="24"/>
          <w:szCs w:val="24"/>
          <w:highlight w:val="none"/>
        </w:rPr>
        <w:t>分。</w:t>
      </w:r>
    </w:p>
    <w:p w14:paraId="2292F5D4">
      <w:pPr>
        <w:pStyle w:val="2"/>
        <w:keepNext w:val="0"/>
        <w:keepLines w:val="0"/>
        <w:pageBreakBefore w:val="0"/>
        <w:widowControl/>
        <w:shd w:val="clear"/>
        <w:kinsoku/>
        <w:wordWrap/>
        <w:overflowPunct w:val="0"/>
        <w:autoSpaceDE/>
        <w:autoSpaceDN/>
        <w:bidi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开标地点：</w:t>
      </w:r>
      <w:r>
        <w:rPr>
          <w:rFonts w:hint="eastAsia" w:ascii="宋体" w:hAnsi="宋体" w:eastAsia="宋体" w:cs="宋体"/>
          <w:color w:val="auto"/>
          <w:sz w:val="24"/>
          <w:szCs w:val="24"/>
          <w:highlight w:val="none"/>
          <w:u w:val="single"/>
        </w:rPr>
        <w:t>苏州市相城区元和街道嘉元路1060号中翔金融大厦9005室</w:t>
      </w:r>
      <w:r>
        <w:rPr>
          <w:rFonts w:hint="eastAsia" w:ascii="宋体" w:hAnsi="宋体" w:eastAsia="宋体" w:cs="宋体"/>
          <w:color w:val="auto"/>
          <w:sz w:val="24"/>
          <w:szCs w:val="24"/>
          <w:highlight w:val="none"/>
        </w:rPr>
        <w:t>。</w:t>
      </w:r>
    </w:p>
    <w:p w14:paraId="70BD68B8">
      <w:pPr>
        <w:pStyle w:val="2"/>
        <w:keepNext w:val="0"/>
        <w:keepLines w:val="0"/>
        <w:pageBreakBefore w:val="0"/>
        <w:widowControl/>
        <w:shd w:val="clear"/>
        <w:kinsoku/>
        <w:wordWrap/>
        <w:overflowPunct w:val="0"/>
        <w:autoSpaceDE/>
        <w:autoSpaceDN/>
        <w:bidi w:val="0"/>
        <w:spacing w:line="360" w:lineRule="auto"/>
        <w:ind w:firstLine="422"/>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七、其他</w:t>
      </w:r>
    </w:p>
    <w:p w14:paraId="31D71E43">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1、建设地点：</w:t>
      </w:r>
      <w:r>
        <w:rPr>
          <w:rFonts w:hint="eastAsia" w:ascii="宋体" w:hAnsi="宋体" w:eastAsia="宋体" w:cs="宋体"/>
          <w:color w:val="auto"/>
          <w:sz w:val="24"/>
          <w:szCs w:val="24"/>
          <w:highlight w:val="none"/>
          <w:u w:val="single"/>
        </w:rPr>
        <w:t xml:space="preserve"> 江苏省昆山市 </w:t>
      </w:r>
      <w:r>
        <w:rPr>
          <w:rFonts w:hint="eastAsia" w:ascii="宋体" w:hAnsi="宋体" w:eastAsia="宋体" w:cs="宋体"/>
          <w:color w:val="auto"/>
          <w:sz w:val="24"/>
          <w:szCs w:val="24"/>
          <w:highlight w:val="none"/>
        </w:rPr>
        <w:t>。</w:t>
      </w:r>
    </w:p>
    <w:p w14:paraId="182E4FB1">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2、资格审查的方式：资格后审；</w:t>
      </w:r>
    </w:p>
    <w:p w14:paraId="0997292D">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3、获取招标文件相关事项：</w:t>
      </w:r>
    </w:p>
    <w:p w14:paraId="51B278C0">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（1）报名资料：</w:t>
      </w:r>
    </w:p>
    <w:p w14:paraId="5D9EB6DA">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1）营业执照、资质证书；</w:t>
      </w:r>
    </w:p>
    <w:p w14:paraId="0F3B0E7E">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2）符合投标人资格要求的业绩证明材料（合同或中标通知书）；</w:t>
      </w:r>
    </w:p>
    <w:p w14:paraId="7EC95BC6">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3）法定代表人授权委托书；</w:t>
      </w:r>
    </w:p>
    <w:p w14:paraId="635B81F1">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4）满足投标人资格要求的其他资料。</w:t>
      </w:r>
    </w:p>
    <w:p w14:paraId="7908150B">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投标单位在购买标书时须向招标代理机构提供以上证明材料并加盖公章（1份）。</w:t>
      </w:r>
    </w:p>
    <w:p w14:paraId="1B7545F5">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（2）售价：现金</w:t>
      </w:r>
      <w:r>
        <w:rPr>
          <w:rFonts w:hint="eastAsia" w:ascii="宋体" w:hAnsi="宋体" w:eastAsia="宋体" w:cs="宋体"/>
          <w:color w:val="auto"/>
          <w:sz w:val="24"/>
          <w:szCs w:val="24"/>
          <w:highlight w:val="none"/>
          <w:u w:val="single"/>
        </w:rPr>
        <w:t>500</w:t>
      </w:r>
      <w:r>
        <w:rPr>
          <w:rFonts w:hint="eastAsia" w:ascii="宋体" w:hAnsi="宋体" w:eastAsia="宋体" w:cs="宋体"/>
          <w:color w:val="auto"/>
          <w:sz w:val="24"/>
          <w:szCs w:val="24"/>
          <w:highlight w:val="none"/>
        </w:rPr>
        <w:t>元，售后不退；</w:t>
      </w:r>
    </w:p>
    <w:p w14:paraId="3DEDB7DE">
      <w:pPr>
        <w:pStyle w:val="2"/>
        <w:keepNext w:val="0"/>
        <w:keepLines w:val="0"/>
        <w:pageBreakBefore w:val="0"/>
        <w:widowControl/>
        <w:shd w:val="clear"/>
        <w:kinsoku/>
        <w:wordWrap/>
        <w:overflowPunct w:val="0"/>
        <w:autoSpaceDE/>
        <w:autoSpaceDN/>
        <w:bidi w:val="0"/>
        <w:spacing w:line="360" w:lineRule="auto"/>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4、发布公告媒介：</w:t>
      </w:r>
      <w:r>
        <w:rPr>
          <w:rFonts w:hint="eastAsia" w:ascii="宋体" w:hAnsi="宋体" w:eastAsia="宋体" w:cs="宋体"/>
          <w:color w:val="auto"/>
          <w:sz w:val="24"/>
          <w:szCs w:val="24"/>
          <w:highlight w:val="none"/>
        </w:rPr>
        <w:t>中国招标投标公共服务平台（</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HYPERLINK "http://www.cebpubservice.com/" \h</w:instrText>
      </w:r>
      <w:r>
        <w:rPr>
          <w:rFonts w:hint="eastAsia" w:ascii="宋体" w:hAnsi="宋体" w:eastAsia="宋体" w:cs="宋体"/>
          <w:color w:val="auto"/>
          <w:sz w:val="24"/>
          <w:szCs w:val="24"/>
          <w:highlight w:val="none"/>
        </w:rPr>
        <w:fldChar w:fldCharType="separate"/>
      </w:r>
      <w:r>
        <w:rPr>
          <w:rStyle w:val="16"/>
          <w:rFonts w:hint="eastAsia" w:ascii="宋体" w:hAnsi="宋体" w:eastAsia="宋体" w:cs="宋体"/>
          <w:color w:val="auto"/>
          <w:sz w:val="24"/>
          <w:szCs w:val="24"/>
          <w:highlight w:val="none"/>
        </w:rPr>
        <w:t>www.cebpubservice.com</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招投标网（http://www.infobidding.com/）</w:t>
      </w:r>
      <w:r>
        <w:rPr>
          <w:rFonts w:hint="eastAsia" w:ascii="宋体" w:hAnsi="宋体" w:eastAsia="宋体" w:cs="宋体"/>
          <w:color w:val="auto"/>
          <w:sz w:val="24"/>
          <w:szCs w:val="24"/>
          <w:highlight w:val="none"/>
        </w:rPr>
        <w:t>。</w:t>
      </w:r>
    </w:p>
    <w:p w14:paraId="7DB70585">
      <w:pPr>
        <w:pStyle w:val="2"/>
        <w:keepNext w:val="0"/>
        <w:keepLines w:val="0"/>
        <w:pageBreakBefore w:val="0"/>
        <w:widowControl/>
        <w:shd w:val="clear"/>
        <w:kinsoku/>
        <w:wordWrap/>
        <w:overflowPunct w:val="0"/>
        <w:autoSpaceDE/>
        <w:autoSpaceDN/>
        <w:bidi w:val="0"/>
        <w:spacing w:line="360" w:lineRule="auto"/>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5、投标保证金</w:t>
      </w:r>
    </w:p>
    <w:p w14:paraId="2F5AC3FC">
      <w:pPr>
        <w:pStyle w:val="2"/>
        <w:keepNext w:val="0"/>
        <w:keepLines w:val="0"/>
        <w:pageBreakBefore w:val="0"/>
        <w:widowControl/>
        <w:shd w:val="clear"/>
        <w:kinsoku/>
        <w:wordWrap/>
        <w:overflowPunct w:val="0"/>
        <w:autoSpaceDE/>
        <w:autoSpaceDN/>
        <w:bidi w:val="0"/>
        <w:spacing w:line="360" w:lineRule="auto"/>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投标保证金金额：1万元。</w:t>
      </w:r>
      <w:r>
        <w:rPr>
          <w:rFonts w:hint="eastAsia" w:ascii="宋体" w:hAnsi="宋体" w:eastAsia="宋体" w:cs="宋体"/>
          <w:bCs/>
          <w:color w:val="auto"/>
          <w:sz w:val="24"/>
          <w:szCs w:val="24"/>
          <w:highlight w:val="none"/>
        </w:rPr>
        <w:t>投标人应在投标文件递交的截止时间（即开标时间）前，按投标人须知规定提交投标保证金。</w:t>
      </w:r>
    </w:p>
    <w:p w14:paraId="1490ED0D">
      <w:pPr>
        <w:pStyle w:val="2"/>
        <w:keepNext w:val="0"/>
        <w:keepLines w:val="0"/>
        <w:pageBreakBefore w:val="0"/>
        <w:widowControl/>
        <w:shd w:val="clear"/>
        <w:kinsoku/>
        <w:wordWrap/>
        <w:overflowPunct w:val="0"/>
        <w:autoSpaceDE/>
        <w:autoSpaceDN/>
        <w:bidi w:val="0"/>
        <w:spacing w:line="360" w:lineRule="auto"/>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6、技术成果经济补偿</w:t>
      </w:r>
    </w:p>
    <w:p w14:paraId="0D192541">
      <w:pPr>
        <w:pStyle w:val="2"/>
        <w:keepNext w:val="0"/>
        <w:keepLines w:val="0"/>
        <w:pageBreakBefore w:val="0"/>
        <w:widowControl/>
        <w:shd w:val="clear"/>
        <w:kinsoku/>
        <w:wordWrap/>
        <w:overflowPunct w:val="0"/>
        <w:autoSpaceDE/>
        <w:autoSpaceDN/>
        <w:bidi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本次招标对未中标人投标文件中的技术成果</w:t>
      </w:r>
      <w:r>
        <w:rPr>
          <w:rFonts w:hint="eastAsia" w:ascii="宋体" w:hAnsi="宋体" w:eastAsia="宋体" w:cs="宋体"/>
          <w:color w:val="auto"/>
          <w:sz w:val="24"/>
          <w:szCs w:val="24"/>
          <w:highlight w:val="none"/>
          <w:u w:val="single"/>
        </w:rPr>
        <w:t>不给予</w:t>
      </w:r>
      <w:r>
        <w:rPr>
          <w:rFonts w:hint="eastAsia" w:ascii="宋体" w:hAnsi="宋体" w:eastAsia="宋体" w:cs="宋体"/>
          <w:color w:val="auto"/>
          <w:sz w:val="24"/>
          <w:szCs w:val="24"/>
          <w:highlight w:val="none"/>
        </w:rPr>
        <w:t>经济补偿。</w:t>
      </w:r>
    </w:p>
    <w:bookmarkEnd w:id="13"/>
    <w:bookmarkEnd w:id="14"/>
    <w:bookmarkEnd w:id="15"/>
    <w:bookmarkEnd w:id="16"/>
    <w:p w14:paraId="2412AF72">
      <w:pPr>
        <w:pStyle w:val="2"/>
        <w:keepNext w:val="0"/>
        <w:keepLines w:val="0"/>
        <w:pageBreakBefore w:val="0"/>
        <w:widowControl/>
        <w:shd w:val="clear"/>
        <w:kinsoku/>
        <w:wordWrap/>
        <w:overflowPunct w:val="0"/>
        <w:autoSpaceDE/>
        <w:autoSpaceDN/>
        <w:bidi w:val="0"/>
        <w:spacing w:line="360" w:lineRule="auto"/>
        <w:ind w:firstLine="422"/>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八、监督部门</w:t>
      </w:r>
    </w:p>
    <w:p w14:paraId="02E2580F">
      <w:pPr>
        <w:keepNext w:val="0"/>
        <w:keepLines w:val="0"/>
        <w:pageBreakBefore w:val="0"/>
        <w:widowControl/>
        <w:shd w:val="clear"/>
        <w:kinsoku/>
        <w:wordWrap/>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TW" w:eastAsia="zh-TW"/>
        </w:rPr>
        <w:t>本项目自行监管</w:t>
      </w:r>
      <w:r>
        <w:rPr>
          <w:rFonts w:hint="eastAsia" w:ascii="宋体" w:hAnsi="宋体" w:eastAsia="宋体" w:cs="宋体"/>
          <w:color w:val="auto"/>
          <w:sz w:val="24"/>
          <w:szCs w:val="24"/>
          <w:highlight w:val="none"/>
          <w:lang w:val="zh-TW"/>
        </w:rPr>
        <w:t>，</w:t>
      </w:r>
      <w:r>
        <w:rPr>
          <w:rFonts w:hint="eastAsia" w:ascii="宋体" w:hAnsi="宋体" w:eastAsia="宋体" w:cs="宋体"/>
          <w:color w:val="auto"/>
          <w:sz w:val="24"/>
          <w:szCs w:val="24"/>
          <w:highlight w:val="none"/>
          <w:lang w:val="zh-TW" w:eastAsia="zh-TW"/>
        </w:rPr>
        <w:t>监督投诉电话：0512-57699266</w:t>
      </w:r>
      <w:r>
        <w:rPr>
          <w:rFonts w:hint="eastAsia" w:ascii="宋体" w:hAnsi="宋体" w:eastAsia="宋体" w:cs="宋体"/>
          <w:color w:val="auto"/>
          <w:sz w:val="24"/>
          <w:szCs w:val="24"/>
          <w:highlight w:val="none"/>
        </w:rPr>
        <w:t>。</w:t>
      </w:r>
    </w:p>
    <w:p w14:paraId="0469DD3C">
      <w:pPr>
        <w:pStyle w:val="2"/>
        <w:keepNext w:val="0"/>
        <w:keepLines w:val="0"/>
        <w:pageBreakBefore w:val="0"/>
        <w:widowControl/>
        <w:shd w:val="clear"/>
        <w:kinsoku/>
        <w:wordWrap/>
        <w:overflowPunct w:val="0"/>
        <w:autoSpaceDE/>
        <w:autoSpaceDN/>
        <w:bidi w:val="0"/>
        <w:spacing w:line="360" w:lineRule="auto"/>
        <w:ind w:firstLine="422"/>
        <w:textAlignment w:val="auto"/>
        <w:rPr>
          <w:rFonts w:hint="eastAsia" w:ascii="宋体" w:hAnsi="宋体" w:eastAsia="宋体" w:cs="宋体"/>
          <w:b/>
          <w:color w:val="auto"/>
          <w:sz w:val="24"/>
          <w:szCs w:val="24"/>
          <w:highlight w:val="none"/>
        </w:rPr>
      </w:pPr>
      <w:bookmarkStart w:id="17" w:name="_Toc152045517"/>
      <w:bookmarkStart w:id="18" w:name="_Toc401750207"/>
      <w:bookmarkStart w:id="19" w:name="_Toc144974485"/>
      <w:bookmarkStart w:id="20" w:name="_Toc152042293"/>
      <w:bookmarkStart w:id="21" w:name="_Toc398710638"/>
      <w:r>
        <w:rPr>
          <w:rFonts w:hint="eastAsia" w:ascii="宋体" w:hAnsi="宋体" w:eastAsia="宋体" w:cs="宋体"/>
          <w:b/>
          <w:color w:val="auto"/>
          <w:sz w:val="24"/>
          <w:szCs w:val="24"/>
          <w:highlight w:val="none"/>
        </w:rPr>
        <w:t>九、联系方式</w:t>
      </w:r>
      <w:bookmarkEnd w:id="17"/>
      <w:bookmarkEnd w:id="18"/>
      <w:bookmarkEnd w:id="19"/>
      <w:bookmarkEnd w:id="20"/>
      <w:bookmarkEnd w:id="21"/>
    </w:p>
    <w:p w14:paraId="4A20689D">
      <w:pPr>
        <w:keepNext w:val="0"/>
        <w:keepLines w:val="0"/>
        <w:pageBreakBefore w:val="0"/>
        <w:widowControl/>
        <w:shd w:val="clear"/>
        <w:kinsoku/>
        <w:wordWrap/>
        <w:topLinePunct/>
        <w:autoSpaceDE/>
        <w:autoSpaceDN/>
        <w:bidi w:val="0"/>
        <w:spacing w:line="360" w:lineRule="auto"/>
        <w:ind w:firstLine="480" w:firstLineChars="200"/>
        <w:textAlignment w:val="auto"/>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highlight w:val="none"/>
        </w:rPr>
        <w:t>招标单位：</w:t>
      </w:r>
      <w:r>
        <w:rPr>
          <w:rFonts w:hint="eastAsia" w:ascii="宋体" w:hAnsi="宋体" w:eastAsia="宋体" w:cs="宋体"/>
          <w:color w:val="auto"/>
          <w:sz w:val="24"/>
          <w:szCs w:val="24"/>
          <w:highlight w:val="none"/>
          <w:u w:val="none"/>
          <w:lang w:eastAsia="zh-CN"/>
        </w:rPr>
        <w:t>上海地铁维护保障有限公司</w:t>
      </w:r>
      <w:r>
        <w:rPr>
          <w:rFonts w:hint="eastAsia" w:ascii="宋体" w:hAnsi="宋体" w:eastAsia="宋体" w:cs="宋体"/>
          <w:color w:val="auto"/>
          <w:sz w:val="24"/>
          <w:szCs w:val="24"/>
          <w:highlight w:val="none"/>
          <w:u w:val="none"/>
          <w:lang w:eastAsia="zh-CN"/>
        </w:rPr>
        <w:t>（执行方）</w:t>
      </w:r>
    </w:p>
    <w:p w14:paraId="48C170DF">
      <w:pPr>
        <w:keepNext w:val="0"/>
        <w:keepLines w:val="0"/>
        <w:pageBreakBefore w:val="0"/>
        <w:widowControl/>
        <w:shd w:val="clear"/>
        <w:kinsoku/>
        <w:wordWrap/>
        <w:topLinePunct/>
        <w:autoSpaceDE/>
        <w:autoSpaceDN/>
        <w:bidi w:val="0"/>
        <w:spacing w:line="360" w:lineRule="auto"/>
        <w:ind w:firstLine="1680" w:firstLineChars="7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none"/>
          <w:lang w:eastAsia="zh-CN"/>
        </w:rPr>
        <w:t>昆山市轨道交通投资发展有限公司</w:t>
      </w:r>
      <w:r>
        <w:rPr>
          <w:rFonts w:hint="eastAsia" w:ascii="宋体" w:hAnsi="宋体" w:eastAsia="宋体" w:cs="宋体"/>
          <w:color w:val="auto"/>
          <w:sz w:val="24"/>
          <w:szCs w:val="24"/>
          <w:highlight w:val="none"/>
          <w:u w:val="none"/>
          <w:lang w:eastAsia="zh-CN"/>
        </w:rPr>
        <w:t>（出资方）</w:t>
      </w:r>
    </w:p>
    <w:p w14:paraId="595AA94D">
      <w:pPr>
        <w:keepNext w:val="0"/>
        <w:keepLines w:val="0"/>
        <w:pageBreakBefore w:val="0"/>
        <w:widowControl/>
        <w:shd w:val="clear"/>
        <w:kinsoku/>
        <w:wordWrap/>
        <w:topLinePunct/>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址：昆山市花桥镇花安路200号</w:t>
      </w:r>
    </w:p>
    <w:p w14:paraId="68F0DBB3">
      <w:pPr>
        <w:keepNext w:val="0"/>
        <w:keepLines w:val="0"/>
        <w:pageBreakBefore w:val="0"/>
        <w:widowControl/>
        <w:shd w:val="clear"/>
        <w:kinsoku/>
        <w:wordWrap/>
        <w:topLinePunct/>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 系 人：相荣</w:t>
      </w:r>
    </w:p>
    <w:p w14:paraId="4B9E3ACD">
      <w:pPr>
        <w:keepNext w:val="0"/>
        <w:keepLines w:val="0"/>
        <w:pageBreakBefore w:val="0"/>
        <w:widowControl/>
        <w:shd w:val="clear"/>
        <w:kinsoku/>
        <w:wordWrap/>
        <w:topLinePunct/>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话：0512-57699266</w:t>
      </w:r>
    </w:p>
    <w:p w14:paraId="57CD75A0">
      <w:pPr>
        <w:keepNext w:val="0"/>
        <w:keepLines w:val="0"/>
        <w:pageBreakBefore w:val="0"/>
        <w:widowControl/>
        <w:shd w:val="clear"/>
        <w:kinsoku/>
        <w:wordWrap/>
        <w:topLinePunct/>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p>
    <w:p w14:paraId="25A2F595">
      <w:pPr>
        <w:keepNext w:val="0"/>
        <w:keepLines w:val="0"/>
        <w:pageBreakBefore w:val="0"/>
        <w:widowControl/>
        <w:shd w:val="clear"/>
        <w:kinsoku/>
        <w:wordWrap/>
        <w:topLinePunct/>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招标代理：北京市建壮咨询有限公司</w:t>
      </w:r>
      <w:bookmarkStart w:id="22" w:name="_GoBack"/>
      <w:bookmarkEnd w:id="22"/>
    </w:p>
    <w:p w14:paraId="5E74B22D">
      <w:pPr>
        <w:keepNext w:val="0"/>
        <w:keepLines w:val="0"/>
        <w:pageBreakBefore w:val="0"/>
        <w:widowControl/>
        <w:shd w:val="clear"/>
        <w:kinsoku/>
        <w:wordWrap/>
        <w:topLinePunct/>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址：苏州市相城区元和街道嘉元路中翔金融大厦</w:t>
      </w:r>
    </w:p>
    <w:p w14:paraId="7622DC3A">
      <w:pPr>
        <w:keepNext w:val="0"/>
        <w:keepLines w:val="0"/>
        <w:pageBreakBefore w:val="0"/>
        <w:widowControl/>
        <w:shd w:val="clear"/>
        <w:kinsoku/>
        <w:wordWrap/>
        <w:topLinePunct/>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话：18351260934</w:t>
      </w:r>
    </w:p>
    <w:p w14:paraId="0852FBD9">
      <w:pPr>
        <w:keepNext w:val="0"/>
        <w:keepLines w:val="0"/>
        <w:pageBreakBefore w:val="0"/>
        <w:widowControl/>
        <w:shd w:val="clear"/>
        <w:kinsoku/>
        <w:wordWrap/>
        <w:topLinePunct/>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联系人：王冉冉</w:t>
      </w:r>
    </w:p>
    <w:p w14:paraId="12B0C4C5">
      <w:pPr>
        <w:keepNext w:val="0"/>
        <w:keepLines w:val="0"/>
        <w:pageBreakBefore w:val="0"/>
        <w:widowControl/>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  箱：</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"mailto:jzzbsz@126.com" </w:instrText>
      </w:r>
      <w:r>
        <w:rPr>
          <w:rFonts w:hint="eastAsia" w:ascii="宋体" w:hAnsi="宋体" w:eastAsia="宋体" w:cs="宋体"/>
          <w:color w:val="auto"/>
          <w:sz w:val="24"/>
          <w:szCs w:val="24"/>
          <w:highlight w:val="none"/>
        </w:rPr>
        <w:fldChar w:fldCharType="separate"/>
      </w:r>
      <w:r>
        <w:rPr>
          <w:rStyle w:val="16"/>
          <w:rFonts w:hint="eastAsia" w:ascii="宋体" w:hAnsi="宋体" w:eastAsia="宋体" w:cs="宋体"/>
          <w:color w:val="auto"/>
          <w:sz w:val="24"/>
          <w:szCs w:val="24"/>
          <w:highlight w:val="none"/>
        </w:rPr>
        <w:t>jzzbsz@126.com</w:t>
      </w:r>
      <w:r>
        <w:rPr>
          <w:rFonts w:hint="eastAsia" w:ascii="宋体" w:hAnsi="宋体" w:eastAsia="宋体" w:cs="宋体"/>
          <w:color w:val="auto"/>
          <w:sz w:val="24"/>
          <w:szCs w:val="24"/>
          <w:highlight w:val="none"/>
        </w:rPr>
        <w:fldChar w:fldCharType="end"/>
      </w:r>
    </w:p>
    <w:p w14:paraId="6FDA530A">
      <w:pPr>
        <w:keepNext w:val="0"/>
        <w:keepLines w:val="0"/>
        <w:pageBreakBefore w:val="0"/>
        <w:widowControl/>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ascii="Arial" w:hAnsi="Arial" w:cs="Arial"/>
          <w:b/>
          <w:color w:val="auto"/>
          <w:szCs w:val="21"/>
          <w:highlight w:val="none"/>
        </w:rPr>
        <w:t>注：上述时间均为北京时间。</w:t>
      </w:r>
    </w:p>
    <w:p w14:paraId="58728E33">
      <w:pPr>
        <w:keepNext w:val="0"/>
        <w:keepLines w:val="0"/>
        <w:pageBreakBefore w:val="0"/>
        <w:widowControl/>
        <w:shd w:val="clear"/>
        <w:kinsoku/>
        <w:wordWrap/>
        <w:overflowPunct/>
        <w:topLinePunct w:val="0"/>
        <w:autoSpaceDE/>
        <w:autoSpaceDN/>
        <w:bidi w:val="0"/>
        <w:adjustRightInd/>
        <w:snapToGrid/>
        <w:spacing w:line="240" w:lineRule="auto"/>
        <w:ind w:firstLine="480" w:firstLineChars="200"/>
        <w:textAlignment w:val="auto"/>
        <w:rPr>
          <w:rFonts w:hint="eastAsia"/>
          <w:color w:val="auto"/>
          <w:szCs w:val="21"/>
          <w:highlight w:val="none"/>
        </w:rPr>
      </w:pPr>
    </w:p>
    <w:p w14:paraId="102530D5">
      <w:pPr>
        <w:keepNext w:val="0"/>
        <w:keepLines w:val="0"/>
        <w:pageBreakBefore w:val="0"/>
        <w:widowControl/>
        <w:shd w:val="clear"/>
        <w:kinsoku/>
        <w:wordWrap/>
        <w:overflowPunct/>
        <w:topLinePunct w:val="0"/>
        <w:autoSpaceDE/>
        <w:autoSpaceDN/>
        <w:bidi w:val="0"/>
        <w:adjustRightInd/>
        <w:snapToGrid/>
        <w:spacing w:line="240" w:lineRule="auto"/>
        <w:ind w:firstLine="480" w:firstLineChars="200"/>
        <w:jc w:val="right"/>
        <w:textAlignment w:val="auto"/>
        <w:rPr>
          <w:rFonts w:hint="eastAsia" w:asciiTheme="majorEastAsia" w:hAnsiTheme="majorEastAsia" w:eastAsiaTheme="majorEastAsia" w:cstheme="majorEastAsia"/>
          <w:b w:val="0"/>
          <w:bCs/>
          <w:color w:val="auto"/>
          <w:sz w:val="24"/>
          <w:szCs w:val="24"/>
          <w:highlight w:val="none"/>
        </w:rPr>
      </w:pPr>
      <w:r>
        <w:rPr>
          <w:rFonts w:hint="eastAsia" w:asciiTheme="majorEastAsia" w:hAnsiTheme="majorEastAsia" w:eastAsiaTheme="majorEastAsia" w:cstheme="majorEastAsia"/>
          <w:b w:val="0"/>
          <w:bCs/>
          <w:color w:val="auto"/>
          <w:sz w:val="24"/>
          <w:szCs w:val="24"/>
          <w:highlight w:val="none"/>
        </w:rPr>
        <w:t>北京市建壮咨询有限公司</w:t>
      </w:r>
    </w:p>
    <w:p w14:paraId="6CC18722">
      <w:pPr>
        <w:keepNext w:val="0"/>
        <w:keepLines w:val="0"/>
        <w:pageBreakBefore w:val="0"/>
        <w:widowControl/>
        <w:shd w:val="clear"/>
        <w:kinsoku/>
        <w:wordWrap/>
        <w:overflowPunct/>
        <w:topLinePunct w:val="0"/>
        <w:autoSpaceDE/>
        <w:autoSpaceDN/>
        <w:bidi w:val="0"/>
        <w:adjustRightInd/>
        <w:snapToGrid/>
        <w:spacing w:line="240" w:lineRule="auto"/>
        <w:ind w:firstLine="480" w:firstLineChars="200"/>
        <w:jc w:val="right"/>
        <w:textAlignment w:val="auto"/>
        <w:rPr>
          <w:rFonts w:hint="eastAsia" w:asciiTheme="majorEastAsia" w:hAnsiTheme="majorEastAsia" w:eastAsiaTheme="majorEastAsia" w:cstheme="majorEastAsia"/>
          <w:b w:val="0"/>
          <w:bCs/>
          <w:color w:val="auto"/>
          <w:sz w:val="24"/>
          <w:szCs w:val="24"/>
          <w:highlight w:val="none"/>
        </w:rPr>
      </w:pPr>
      <w:r>
        <w:rPr>
          <w:rFonts w:hint="eastAsia" w:asciiTheme="majorEastAsia" w:hAnsiTheme="majorEastAsia" w:eastAsiaTheme="majorEastAsia" w:cstheme="majorEastAsia"/>
          <w:b w:val="0"/>
          <w:bCs/>
          <w:color w:val="auto"/>
          <w:sz w:val="24"/>
          <w:szCs w:val="24"/>
          <w:highlight w:val="none"/>
        </w:rPr>
        <w:t>202</w:t>
      </w:r>
      <w:r>
        <w:rPr>
          <w:rFonts w:hint="eastAsia" w:asciiTheme="majorEastAsia" w:hAnsiTheme="majorEastAsia" w:eastAsiaTheme="majorEastAsia" w:cstheme="majorEastAsia"/>
          <w:b w:val="0"/>
          <w:bCs/>
          <w:color w:val="auto"/>
          <w:sz w:val="24"/>
          <w:szCs w:val="24"/>
          <w:highlight w:val="none"/>
          <w:lang w:val="en-US" w:eastAsia="zh-CN"/>
        </w:rPr>
        <w:t>6</w:t>
      </w:r>
      <w:r>
        <w:rPr>
          <w:rFonts w:hint="eastAsia" w:asciiTheme="majorEastAsia" w:hAnsiTheme="majorEastAsia" w:eastAsiaTheme="majorEastAsia" w:cstheme="majorEastAsia"/>
          <w:b w:val="0"/>
          <w:bCs/>
          <w:color w:val="auto"/>
          <w:sz w:val="24"/>
          <w:szCs w:val="24"/>
          <w:highlight w:val="none"/>
        </w:rPr>
        <w:t>年</w:t>
      </w:r>
      <w:r>
        <w:rPr>
          <w:rFonts w:hint="eastAsia" w:asciiTheme="majorEastAsia" w:hAnsiTheme="majorEastAsia" w:eastAsiaTheme="majorEastAsia" w:cstheme="majorEastAsia"/>
          <w:b w:val="0"/>
          <w:bCs/>
          <w:color w:val="auto"/>
          <w:sz w:val="24"/>
          <w:szCs w:val="24"/>
          <w:highlight w:val="none"/>
          <w:lang w:val="en-US" w:eastAsia="zh-CN"/>
        </w:rPr>
        <w:t>9</w:t>
      </w:r>
      <w:r>
        <w:rPr>
          <w:rFonts w:hint="eastAsia" w:asciiTheme="majorEastAsia" w:hAnsiTheme="majorEastAsia" w:eastAsiaTheme="majorEastAsia" w:cstheme="majorEastAsia"/>
          <w:b w:val="0"/>
          <w:bCs/>
          <w:color w:val="auto"/>
          <w:sz w:val="24"/>
          <w:szCs w:val="24"/>
          <w:highlight w:val="none"/>
        </w:rPr>
        <w:t>月</w:t>
      </w:r>
      <w:r>
        <w:rPr>
          <w:rFonts w:hint="eastAsia" w:asciiTheme="majorEastAsia" w:hAnsiTheme="majorEastAsia" w:eastAsiaTheme="majorEastAsia" w:cstheme="majorEastAsia"/>
          <w:b w:val="0"/>
          <w:bCs/>
          <w:color w:val="auto"/>
          <w:sz w:val="24"/>
          <w:szCs w:val="24"/>
          <w:highlight w:val="none"/>
          <w:lang w:val="en-US" w:eastAsia="zh-CN"/>
        </w:rPr>
        <w:t>23</w:t>
      </w:r>
      <w:r>
        <w:rPr>
          <w:rFonts w:hint="eastAsia" w:asciiTheme="majorEastAsia" w:hAnsiTheme="majorEastAsia" w:eastAsiaTheme="majorEastAsia" w:cstheme="majorEastAsia"/>
          <w:b w:val="0"/>
          <w:bCs/>
          <w:color w:val="auto"/>
          <w:sz w:val="24"/>
          <w:szCs w:val="24"/>
          <w:highlight w:val="none"/>
        </w:rPr>
        <w:t>日</w:t>
      </w:r>
    </w:p>
    <w:p w14:paraId="5D218DB3">
      <w:pPr>
        <w:keepNext w:val="0"/>
        <w:keepLines w:val="0"/>
        <w:pageBreakBefore w:val="0"/>
        <w:widowControl/>
        <w:shd w:val="clear"/>
        <w:kinsoku/>
        <w:wordWrap/>
        <w:overflowPunct/>
        <w:topLinePunct w:val="0"/>
        <w:autoSpaceDE/>
        <w:autoSpaceDN/>
        <w:bidi w:val="0"/>
        <w:adjustRightInd/>
        <w:snapToGrid/>
        <w:spacing w:line="240" w:lineRule="auto"/>
        <w:ind w:firstLine="482" w:firstLineChars="200"/>
        <w:jc w:val="right"/>
        <w:textAlignment w:val="auto"/>
        <w:rPr>
          <w:rFonts w:hint="eastAsia" w:asciiTheme="majorEastAsia" w:hAnsiTheme="majorEastAsia" w:eastAsiaTheme="majorEastAsia" w:cstheme="majorEastAsia"/>
          <w:b/>
          <w:color w:val="auto"/>
          <w:sz w:val="24"/>
          <w:szCs w:val="24"/>
          <w:highlight w:val="none"/>
        </w:rPr>
      </w:pPr>
    </w:p>
    <w:bookmarkEnd w:id="4"/>
    <w:p w14:paraId="10B94930">
      <w:pPr>
        <w:shd w:val="clear"/>
        <w:ind w:firstLine="482" w:firstLineChars="200"/>
        <w:rPr>
          <w:rFonts w:hint="eastAsia" w:ascii="宋体" w:hAnsi="宋体" w:eastAsia="宋体" w:cs="宋体"/>
          <w:b/>
          <w:bCs/>
          <w:color w:val="auto"/>
          <w:sz w:val="24"/>
          <w:szCs w:val="24"/>
          <w:highlight w:val="none"/>
        </w:rPr>
      </w:pPr>
    </w:p>
    <w:sectPr>
      <w:pgSz w:w="11906" w:h="16838"/>
      <w:pgMar w:top="1135" w:right="1416" w:bottom="1276" w:left="12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Microsoft YaHei UI"/>
    <w:panose1 w:val="020B0604020202020204"/>
    <w:charset w:val="86"/>
    <w:family w:val="swiss"/>
    <w:pitch w:val="default"/>
    <w:sig w:usb0="00000000" w:usb1="00000000" w:usb2="0000003F" w:usb3="00000000" w:csb0="603F01FF" w:csb1="FFFF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zOWVmZTYwMDcwNDBjOTVjY2ExNTYwYjkzOTBjM2UifQ=="/>
  </w:docVars>
  <w:rsids>
    <w:rsidRoot w:val="00F24E6F"/>
    <w:rsid w:val="0004305E"/>
    <w:rsid w:val="0006043C"/>
    <w:rsid w:val="000751E2"/>
    <w:rsid w:val="000E6109"/>
    <w:rsid w:val="00106BC7"/>
    <w:rsid w:val="001F12C6"/>
    <w:rsid w:val="00312469"/>
    <w:rsid w:val="0032729B"/>
    <w:rsid w:val="003552AC"/>
    <w:rsid w:val="00395BBA"/>
    <w:rsid w:val="003A29BB"/>
    <w:rsid w:val="003A7B4A"/>
    <w:rsid w:val="00490F58"/>
    <w:rsid w:val="004C55FA"/>
    <w:rsid w:val="004F7DEA"/>
    <w:rsid w:val="00551E24"/>
    <w:rsid w:val="005E6E81"/>
    <w:rsid w:val="00625294"/>
    <w:rsid w:val="007D50B5"/>
    <w:rsid w:val="00866AB6"/>
    <w:rsid w:val="008815B2"/>
    <w:rsid w:val="0096627E"/>
    <w:rsid w:val="009E6856"/>
    <w:rsid w:val="00A24E4C"/>
    <w:rsid w:val="00A73A65"/>
    <w:rsid w:val="00BE77B3"/>
    <w:rsid w:val="00CB035A"/>
    <w:rsid w:val="00CF051A"/>
    <w:rsid w:val="00D15DED"/>
    <w:rsid w:val="00DB3CB8"/>
    <w:rsid w:val="00E1023C"/>
    <w:rsid w:val="00E24F4A"/>
    <w:rsid w:val="00E25E85"/>
    <w:rsid w:val="00E4557B"/>
    <w:rsid w:val="00F24E6F"/>
    <w:rsid w:val="00F43A7D"/>
    <w:rsid w:val="00F61145"/>
    <w:rsid w:val="00F850B2"/>
    <w:rsid w:val="01100F67"/>
    <w:rsid w:val="02EA7E22"/>
    <w:rsid w:val="041F054D"/>
    <w:rsid w:val="04BF446C"/>
    <w:rsid w:val="05291032"/>
    <w:rsid w:val="05F1113A"/>
    <w:rsid w:val="0911621D"/>
    <w:rsid w:val="0A430D0D"/>
    <w:rsid w:val="0DA6583B"/>
    <w:rsid w:val="0F4C33C4"/>
    <w:rsid w:val="12865C3B"/>
    <w:rsid w:val="155838BF"/>
    <w:rsid w:val="17081314"/>
    <w:rsid w:val="17CF1E32"/>
    <w:rsid w:val="191F46F3"/>
    <w:rsid w:val="192817FA"/>
    <w:rsid w:val="19771021"/>
    <w:rsid w:val="19C71013"/>
    <w:rsid w:val="1ABC044C"/>
    <w:rsid w:val="1DA56ABC"/>
    <w:rsid w:val="1E1D789F"/>
    <w:rsid w:val="1EC27F17"/>
    <w:rsid w:val="1ED85A70"/>
    <w:rsid w:val="1F136AA8"/>
    <w:rsid w:val="20BE2A44"/>
    <w:rsid w:val="20ED0EAD"/>
    <w:rsid w:val="23A7273E"/>
    <w:rsid w:val="25DA20CE"/>
    <w:rsid w:val="26B43E48"/>
    <w:rsid w:val="2C8114F5"/>
    <w:rsid w:val="2DC7118A"/>
    <w:rsid w:val="2FE07B7F"/>
    <w:rsid w:val="31F32531"/>
    <w:rsid w:val="32E7407C"/>
    <w:rsid w:val="348E47AF"/>
    <w:rsid w:val="36C070BE"/>
    <w:rsid w:val="3B0F0643"/>
    <w:rsid w:val="3C1A101E"/>
    <w:rsid w:val="3F367F1D"/>
    <w:rsid w:val="42591872"/>
    <w:rsid w:val="47650DCA"/>
    <w:rsid w:val="49496A9F"/>
    <w:rsid w:val="498C323F"/>
    <w:rsid w:val="4AA00BB8"/>
    <w:rsid w:val="4EB94BCE"/>
    <w:rsid w:val="501716A5"/>
    <w:rsid w:val="52770131"/>
    <w:rsid w:val="532C190B"/>
    <w:rsid w:val="53CA7FB2"/>
    <w:rsid w:val="551268DF"/>
    <w:rsid w:val="59C512BC"/>
    <w:rsid w:val="5BC87CF7"/>
    <w:rsid w:val="5BE01692"/>
    <w:rsid w:val="5BEA4111"/>
    <w:rsid w:val="5C1A067F"/>
    <w:rsid w:val="5E2C1DF7"/>
    <w:rsid w:val="60B452F6"/>
    <w:rsid w:val="646A2293"/>
    <w:rsid w:val="64EF2799"/>
    <w:rsid w:val="656960A7"/>
    <w:rsid w:val="656A40E7"/>
    <w:rsid w:val="65717652"/>
    <w:rsid w:val="67802CA9"/>
    <w:rsid w:val="6A3F1ACC"/>
    <w:rsid w:val="6AD63C7B"/>
    <w:rsid w:val="6B6C68F1"/>
    <w:rsid w:val="6BAA566B"/>
    <w:rsid w:val="6F241B0D"/>
    <w:rsid w:val="6F7B5355"/>
    <w:rsid w:val="702F50A4"/>
    <w:rsid w:val="7056191E"/>
    <w:rsid w:val="70CD0F7E"/>
    <w:rsid w:val="70EC0A80"/>
    <w:rsid w:val="72AF5315"/>
    <w:rsid w:val="72B24F8E"/>
    <w:rsid w:val="73B54BAD"/>
    <w:rsid w:val="78D635FC"/>
    <w:rsid w:val="79313734"/>
    <w:rsid w:val="7B860F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color w:val="000000"/>
      <w:kern w:val="0"/>
      <w:sz w:val="24"/>
      <w:szCs w:val="24"/>
      <w:u w:color="000000"/>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adjustRightInd w:val="0"/>
      <w:ind w:firstLine="420"/>
      <w:jc w:val="left"/>
    </w:pPr>
    <w:rPr>
      <w:rFonts w:eastAsia="楷体_GB2312"/>
      <w:sz w:val="24"/>
      <w:szCs w:val="20"/>
    </w:rPr>
  </w:style>
  <w:style w:type="paragraph" w:styleId="3">
    <w:name w:val="annotation text"/>
    <w:basedOn w:val="1"/>
    <w:semiHidden/>
    <w:unhideWhenUsed/>
    <w:qFormat/>
    <w:uiPriority w:val="99"/>
    <w:pPr>
      <w:jc w:val="left"/>
    </w:pPr>
  </w:style>
  <w:style w:type="paragraph" w:styleId="4">
    <w:name w:val="Body Text"/>
    <w:basedOn w:val="1"/>
    <w:qFormat/>
    <w:uiPriority w:val="99"/>
    <w:pPr>
      <w:spacing w:line="400" w:lineRule="exact"/>
    </w:pPr>
    <w:rPr>
      <w:rFonts w:ascii="楷体_GB2312" w:eastAsia="楷体_GB2312"/>
      <w:sz w:val="28"/>
      <w:szCs w:val="20"/>
    </w:rPr>
  </w:style>
  <w:style w:type="paragraph" w:styleId="5">
    <w:name w:val="Date"/>
    <w:basedOn w:val="1"/>
    <w:next w:val="1"/>
    <w:link w:val="24"/>
    <w:qFormat/>
    <w:uiPriority w:val="99"/>
    <w:pPr>
      <w:widowControl w:val="0"/>
      <w:jc w:val="both"/>
    </w:pPr>
    <w:rPr>
      <w:rFonts w:ascii="宋体" w:hAnsi="宋体" w:eastAsiaTheme="minorEastAsia" w:cstheme="minorBidi"/>
      <w:kern w:val="2"/>
    </w:rPr>
  </w:style>
  <w:style w:type="paragraph" w:styleId="6">
    <w:name w:val="footer"/>
    <w:basedOn w:val="1"/>
    <w:link w:val="23"/>
    <w:unhideWhenUsed/>
    <w:qFormat/>
    <w:uiPriority w:val="99"/>
    <w:pPr>
      <w:tabs>
        <w:tab w:val="center" w:pos="4153"/>
        <w:tab w:val="right" w:pos="8306"/>
      </w:tabs>
      <w:snapToGrid w:val="0"/>
    </w:pPr>
    <w:rPr>
      <w:sz w:val="18"/>
      <w:szCs w:val="18"/>
    </w:rPr>
  </w:style>
  <w:style w:type="paragraph" w:styleId="7">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rPr>
      <w:sz w:val="18"/>
      <w:szCs w:val="18"/>
    </w:rPr>
  </w:style>
  <w:style w:type="character" w:styleId="11">
    <w:name w:val="FollowedHyperlink"/>
    <w:basedOn w:val="10"/>
    <w:semiHidden/>
    <w:unhideWhenUsed/>
    <w:qFormat/>
    <w:uiPriority w:val="99"/>
    <w:rPr>
      <w:color w:val="800080"/>
      <w:u w:val="none"/>
    </w:rPr>
  </w:style>
  <w:style w:type="character" w:styleId="12">
    <w:name w:val="HTML Definition"/>
    <w:basedOn w:val="10"/>
    <w:semiHidden/>
    <w:unhideWhenUsed/>
    <w:qFormat/>
    <w:uiPriority w:val="99"/>
  </w:style>
  <w:style w:type="character" w:styleId="13">
    <w:name w:val="HTML Typewriter"/>
    <w:basedOn w:val="10"/>
    <w:semiHidden/>
    <w:unhideWhenUsed/>
    <w:qFormat/>
    <w:uiPriority w:val="99"/>
    <w:rPr>
      <w:rFonts w:hint="default" w:ascii="monospace" w:hAnsi="monospace" w:eastAsia="monospace" w:cs="monospace"/>
      <w:sz w:val="20"/>
    </w:rPr>
  </w:style>
  <w:style w:type="character" w:styleId="14">
    <w:name w:val="HTML Acronym"/>
    <w:basedOn w:val="10"/>
    <w:semiHidden/>
    <w:unhideWhenUsed/>
    <w:qFormat/>
    <w:uiPriority w:val="99"/>
  </w:style>
  <w:style w:type="character" w:styleId="15">
    <w:name w:val="HTML Variable"/>
    <w:basedOn w:val="10"/>
    <w:semiHidden/>
    <w:unhideWhenUsed/>
    <w:qFormat/>
    <w:uiPriority w:val="99"/>
  </w:style>
  <w:style w:type="character" w:styleId="16">
    <w:name w:val="Hyperlink"/>
    <w:basedOn w:val="10"/>
    <w:semiHidden/>
    <w:unhideWhenUsed/>
    <w:qFormat/>
    <w:uiPriority w:val="99"/>
    <w:rPr>
      <w:color w:val="0000FF"/>
      <w:u w:val="none"/>
    </w:rPr>
  </w:style>
  <w:style w:type="character" w:styleId="17">
    <w:name w:val="HTML Code"/>
    <w:basedOn w:val="10"/>
    <w:semiHidden/>
    <w:unhideWhenUsed/>
    <w:qFormat/>
    <w:uiPriority w:val="99"/>
    <w:rPr>
      <w:rFonts w:hint="default" w:ascii="monospace" w:hAnsi="monospace" w:eastAsia="monospace" w:cs="monospace"/>
      <w:sz w:val="20"/>
    </w:rPr>
  </w:style>
  <w:style w:type="character" w:styleId="18">
    <w:name w:val="HTML Cite"/>
    <w:basedOn w:val="10"/>
    <w:semiHidden/>
    <w:unhideWhenUsed/>
    <w:qFormat/>
    <w:uiPriority w:val="99"/>
  </w:style>
  <w:style w:type="character" w:styleId="19">
    <w:name w:val="HTML Keyboard"/>
    <w:basedOn w:val="10"/>
    <w:semiHidden/>
    <w:unhideWhenUsed/>
    <w:qFormat/>
    <w:uiPriority w:val="99"/>
    <w:rPr>
      <w:rFonts w:hint="default" w:ascii="monospace" w:hAnsi="monospace" w:eastAsia="monospace" w:cs="monospace"/>
      <w:sz w:val="20"/>
    </w:rPr>
  </w:style>
  <w:style w:type="character" w:styleId="20">
    <w:name w:val="HTML Sample"/>
    <w:basedOn w:val="10"/>
    <w:semiHidden/>
    <w:unhideWhenUsed/>
    <w:qFormat/>
    <w:uiPriority w:val="99"/>
    <w:rPr>
      <w:rFonts w:ascii="monospace" w:hAnsi="monospace" w:eastAsia="monospace" w:cs="monospace"/>
    </w:rPr>
  </w:style>
  <w:style w:type="paragraph" w:customStyle="1" w:styleId="21">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character" w:customStyle="1" w:styleId="22">
    <w:name w:val="页眉 字符"/>
    <w:basedOn w:val="10"/>
    <w:link w:val="7"/>
    <w:qFormat/>
    <w:uiPriority w:val="99"/>
    <w:rPr>
      <w:rFonts w:ascii="Times New Roman" w:hAnsi="Times New Roman" w:eastAsia="Times New Roman" w:cs="Times New Roman"/>
      <w:color w:val="000000"/>
      <w:kern w:val="0"/>
      <w:sz w:val="18"/>
      <w:szCs w:val="18"/>
      <w:u w:color="000000"/>
    </w:rPr>
  </w:style>
  <w:style w:type="character" w:customStyle="1" w:styleId="23">
    <w:name w:val="页脚 字符"/>
    <w:basedOn w:val="10"/>
    <w:link w:val="6"/>
    <w:qFormat/>
    <w:uiPriority w:val="99"/>
    <w:rPr>
      <w:rFonts w:ascii="Times New Roman" w:hAnsi="Times New Roman" w:eastAsia="Times New Roman" w:cs="Times New Roman"/>
      <w:color w:val="000000"/>
      <w:kern w:val="0"/>
      <w:sz w:val="18"/>
      <w:szCs w:val="18"/>
      <w:u w:color="000000"/>
    </w:rPr>
  </w:style>
  <w:style w:type="character" w:customStyle="1" w:styleId="24">
    <w:name w:val="日期 字符"/>
    <w:link w:val="5"/>
    <w:qFormat/>
    <w:uiPriority w:val="99"/>
    <w:rPr>
      <w:rFonts w:ascii="宋体" w:hAnsi="宋体"/>
      <w:color w:val="000000"/>
      <w:sz w:val="24"/>
      <w:szCs w:val="24"/>
      <w:u w:color="000000"/>
    </w:rPr>
  </w:style>
  <w:style w:type="character" w:customStyle="1" w:styleId="25">
    <w:name w:val="日期 字符1"/>
    <w:basedOn w:val="10"/>
    <w:semiHidden/>
    <w:qFormat/>
    <w:uiPriority w:val="99"/>
    <w:rPr>
      <w:rFonts w:ascii="Times New Roman" w:hAnsi="Times New Roman" w:eastAsia="Times New Roman" w:cs="Times New Roman"/>
      <w:color w:val="000000"/>
      <w:kern w:val="0"/>
      <w:sz w:val="24"/>
      <w:szCs w:val="24"/>
      <w:u w:color="000000"/>
    </w:rPr>
  </w:style>
  <w:style w:type="character" w:customStyle="1" w:styleId="26">
    <w:name w:val="hover"/>
    <w:basedOn w:val="10"/>
    <w:qFormat/>
    <w:uiPriority w:val="0"/>
    <w:rPr>
      <w:color w:val="5FB878"/>
    </w:rPr>
  </w:style>
  <w:style w:type="character" w:customStyle="1" w:styleId="27">
    <w:name w:val="hover1"/>
    <w:basedOn w:val="10"/>
    <w:qFormat/>
    <w:uiPriority w:val="0"/>
    <w:rPr>
      <w:color w:val="5FB878"/>
    </w:rPr>
  </w:style>
  <w:style w:type="character" w:customStyle="1" w:styleId="28">
    <w:name w:val="hover2"/>
    <w:basedOn w:val="10"/>
    <w:qFormat/>
    <w:uiPriority w:val="0"/>
    <w:rPr>
      <w:color w:val="FFFFFF"/>
    </w:rPr>
  </w:style>
  <w:style w:type="character" w:customStyle="1" w:styleId="29">
    <w:name w:val="hover3"/>
    <w:basedOn w:val="10"/>
    <w:qFormat/>
    <w:uiPriority w:val="0"/>
    <w:rPr>
      <w:color w:val="FFFFFF"/>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1736</Words>
  <Characters>1954</Characters>
  <Lines>49</Lines>
  <Paragraphs>59</Paragraphs>
  <TotalTime>0</TotalTime>
  <ScaleCrop>false</ScaleCrop>
  <LinksUpToDate>false</LinksUpToDate>
  <CharactersWithSpaces>1981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2020-05-19T06:54:00Z</dcterms:created>
  <dc:creator>pc</dc:creator>
  <cp:lastModifiedBy>冉冉</cp:lastModifiedBy>
  <dcterms:modified xsi:type="dcterms:W3CDTF">2026-09-23T05:44:53Z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3FCF7FF54A8B41DC84048883FB22F26F_13</vt:lpwstr>
  </property>
  <property fmtid="{D5CDD505-2E9C-101B-9397-08002B2CF9AE}" pid="4" name="KSOTemplateDocerSaveRecord">
    <vt:lpwstr>eyJoZGlkIjoiMmYzOWVmZTYwMDcwNDBjOTVjY2ExNTYwYjkzOTBjM2UiLCJ1c2VySWQiOiI2NTI2NzIzMjEifQ==</vt:lpwstr>
  </property>
</Properties>
</file>